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 xml:space="preserve">Для повышения выявления и профилактики заболеваний, </w:t>
      </w:r>
      <w:bookmarkStart w:id="0" w:name="_GoBack"/>
      <w:bookmarkEnd w:id="0"/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в соответствии с указанием Министерства здравоохранения Российской Федерации проводится всеобщая диспансеризация населения.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Основные цели диспансеризации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болезни системы кровообращения и в первую очередь ишемическая болезнь сердца и цереброваскулярные заболевания;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злокачественные новообразования;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сахарный диабет;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хронические болезни легких.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Указанные болезни обуславливают более 75% всей смертности населения нашей страны.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повышенный уровень артериального давления;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повышенный уровень холестерина в крови;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повышенный уровень глюкозы в крови;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курение табака;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пагубное потребление алкоголя;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нерациональное питание;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низкая физическая активность;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избыточная масса тела или ожирение.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lastRenderedPageBreak/>
        <w:t>Где и когда можно пройти диспансеризацию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Ваш участковый врач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Сколько времени занимает прохождение диспансеризации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Как пройти диспансеризацию работающему человеку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Согласно статье 24 Федерального закона Российской Федерации от 21 ноября 2011 г. N 323-ФЗ «Об основах охраны здоровья граждан в Российской Федерации</w:t>
      </w:r>
      <w:proofErr w:type="gram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»</w:t>
      </w:r>
      <w:proofErr w:type="gram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Какая подготовка нужна для прохождения диспансеризации: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— 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 xml:space="preserve">—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биопроб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, которые можно приобрести в аптеке. Для анализа мочи нужно собрать среднюю порцию мочи (начать мочеиспускание, а 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lastRenderedPageBreak/>
        <w:t>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 xml:space="preserve">—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пероксидаза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вольтарен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, 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диклофенак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На емкости с мочой и калом необходимо разместить наклейку со своей фамилией и инициалами.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 xml:space="preserve">—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lastRenderedPageBreak/>
        <w:t xml:space="preserve">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простатспецифического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 антигена в крови (</w:t>
      </w:r>
      <w:proofErr w:type="spellStart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онкомаркер</w:t>
      </w:r>
      <w:proofErr w:type="spellEnd"/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 xml:space="preserve"> рака предстательной железы).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Если Вы в текущем или предшествующем году проходили медицинские исследования, возьмите документы, подтверждающие это и покажите их медицинским работникам перед началом прохождения диспансеризации.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  <w:t>— Объем подготовки для прохождения второго этапа диспансеризации Вам объяснит участковый врач.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Какой документ получает гражданин по результатам прохождения диспансеризации</w:t>
      </w:r>
    </w:p>
    <w:p w:rsidR="00192B92" w:rsidRPr="00192B92" w:rsidRDefault="00192B92" w:rsidP="00192B92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000000" w:themeColor="text1"/>
          <w:spacing w:val="8"/>
          <w:sz w:val="21"/>
          <w:szCs w:val="21"/>
        </w:rPr>
      </w:pP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  <w:r w:rsidRPr="00192B92">
        <w:rPr>
          <w:rFonts w:ascii="Arial" w:hAnsi="Arial" w:cs="Arial"/>
          <w:color w:val="000000" w:themeColor="text1"/>
          <w:spacing w:val="8"/>
          <w:sz w:val="21"/>
          <w:szCs w:val="21"/>
        </w:rPr>
        <w:br/>
      </w:r>
      <w:r w:rsidRPr="00192B92">
        <w:rPr>
          <w:rStyle w:val="a4"/>
          <w:rFonts w:ascii="Arial" w:hAnsi="Arial" w:cs="Arial"/>
          <w:color w:val="000000" w:themeColor="text1"/>
          <w:spacing w:val="8"/>
          <w:sz w:val="21"/>
          <w:szCs w:val="21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F870D4" w:rsidRPr="00192B92" w:rsidRDefault="00F870D4">
      <w:pPr>
        <w:rPr>
          <w:color w:val="000000" w:themeColor="text1"/>
        </w:rPr>
      </w:pPr>
    </w:p>
    <w:sectPr w:rsidR="00F870D4" w:rsidRPr="0019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8"/>
    <w:rsid w:val="00192B92"/>
    <w:rsid w:val="00A85738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599C-8409-435B-86C7-6B2AB6D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>HP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2020-11-17T11:16:00Z</dcterms:created>
  <dcterms:modified xsi:type="dcterms:W3CDTF">2020-11-17T11:17:00Z</dcterms:modified>
</cp:coreProperties>
</file>